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周利军</w:t>
      </w:r>
      <w:r>
        <w:rPr>
          <w:rFonts w:hint="eastAsia"/>
          <w:sz w:val="15"/>
          <w:szCs w:val="15"/>
          <w:highlight w:val="none"/>
        </w:rPr>
        <w:t>，</w:t>
      </w:r>
      <w:r>
        <w:rPr>
          <w:rFonts w:hint="eastAsia"/>
          <w:sz w:val="15"/>
          <w:szCs w:val="15"/>
          <w:highlight w:val="none"/>
          <w:lang w:val="en-US" w:eastAsia="zh-CN"/>
        </w:rPr>
        <w:t>13233519780915045X</w:t>
      </w:r>
      <w:r>
        <w:rPr>
          <w:rFonts w:hint="eastAsia"/>
          <w:sz w:val="15"/>
          <w:szCs w:val="15"/>
        </w:rPr>
        <w:t xml:space="preserve">  </w:t>
      </w:r>
      <w:r>
        <w:rPr>
          <w:rFonts w:hint="eastAsia"/>
          <w:sz w:val="15"/>
          <w:szCs w:val="15"/>
          <w:lang w:val="en-US" w:eastAsia="zh-CN"/>
        </w:rPr>
        <w:t>冀AM5907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