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赵振平</w:t>
      </w:r>
      <w:r>
        <w:rPr>
          <w:rFonts w:hint="eastAsia"/>
          <w:sz w:val="15"/>
          <w:szCs w:val="15"/>
          <w:highlight w:val="none"/>
        </w:rPr>
        <w:t>，</w:t>
      </w:r>
      <w:r>
        <w:rPr>
          <w:rFonts w:hint="eastAsia"/>
          <w:sz w:val="15"/>
          <w:szCs w:val="15"/>
          <w:highlight w:val="none"/>
          <w:lang w:val="en-US" w:eastAsia="zh-CN"/>
        </w:rPr>
        <w:t>132335197805051470</w:t>
      </w:r>
      <w:r>
        <w:rPr>
          <w:rFonts w:hint="eastAsia"/>
          <w:sz w:val="15"/>
          <w:szCs w:val="15"/>
        </w:rPr>
        <w:t xml:space="preserve">  </w:t>
      </w:r>
      <w:r>
        <w:rPr>
          <w:rFonts w:hint="eastAsia"/>
          <w:sz w:val="15"/>
          <w:szCs w:val="15"/>
          <w:lang w:val="en-US" w:eastAsia="zh-CN"/>
        </w:rPr>
        <w:t>冀A9H318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