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史文刚</w:t>
      </w:r>
      <w:r>
        <w:rPr>
          <w:rFonts w:hint="eastAsia"/>
          <w:sz w:val="15"/>
          <w:szCs w:val="15"/>
          <w:highlight w:val="none"/>
        </w:rPr>
        <w:t>，</w:t>
      </w:r>
      <w:r>
        <w:rPr>
          <w:rFonts w:hint="eastAsia"/>
          <w:sz w:val="15"/>
          <w:szCs w:val="15"/>
          <w:highlight w:val="none"/>
          <w:lang w:val="en-US" w:eastAsia="zh-CN"/>
        </w:rPr>
        <w:t>132335197707240876</w:t>
      </w:r>
      <w:r>
        <w:rPr>
          <w:rFonts w:hint="eastAsia"/>
          <w:sz w:val="15"/>
          <w:szCs w:val="15"/>
        </w:rPr>
        <w:t xml:space="preserve">  </w:t>
      </w:r>
      <w:r>
        <w:rPr>
          <w:rFonts w:hint="eastAsia"/>
          <w:sz w:val="15"/>
          <w:szCs w:val="15"/>
          <w:lang w:val="en-US" w:eastAsia="zh-CN"/>
        </w:rPr>
        <w:t>沪A85775D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