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王联增</w:t>
      </w:r>
      <w:r>
        <w:rPr>
          <w:rFonts w:hint="eastAsia"/>
          <w:sz w:val="15"/>
          <w:szCs w:val="15"/>
          <w:highlight w:val="none"/>
        </w:rPr>
        <w:t>，</w:t>
      </w:r>
      <w:r>
        <w:rPr>
          <w:rFonts w:hint="eastAsia"/>
          <w:sz w:val="15"/>
          <w:szCs w:val="15"/>
          <w:highlight w:val="none"/>
          <w:lang w:val="en-US" w:eastAsia="zh-CN"/>
        </w:rPr>
        <w:t>132335197705220919</w:t>
      </w:r>
      <w:r>
        <w:rPr>
          <w:rFonts w:hint="eastAsia"/>
          <w:sz w:val="15"/>
          <w:szCs w:val="15"/>
        </w:rPr>
        <w:t xml:space="preserve">  </w:t>
      </w:r>
      <w:r>
        <w:rPr>
          <w:rFonts w:hint="eastAsia"/>
          <w:sz w:val="15"/>
          <w:szCs w:val="15"/>
          <w:lang w:val="en-US" w:eastAsia="zh-CN"/>
        </w:rPr>
        <w:t>冀A4G489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