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焦建普</w:t>
      </w:r>
      <w:r>
        <w:rPr>
          <w:rFonts w:hint="eastAsia"/>
          <w:sz w:val="15"/>
          <w:szCs w:val="15"/>
          <w:highlight w:val="none"/>
        </w:rPr>
        <w:t>，</w:t>
      </w:r>
      <w:r>
        <w:rPr>
          <w:rFonts w:hint="eastAsia"/>
          <w:sz w:val="15"/>
          <w:szCs w:val="15"/>
          <w:highlight w:val="none"/>
          <w:lang w:val="en-US" w:eastAsia="zh-CN"/>
        </w:rPr>
        <w:t>132335197611200415</w:t>
      </w:r>
      <w:r>
        <w:rPr>
          <w:rFonts w:hint="eastAsia"/>
          <w:sz w:val="15"/>
          <w:szCs w:val="15"/>
        </w:rPr>
        <w:t xml:space="preserve">  </w:t>
      </w:r>
      <w:r>
        <w:rPr>
          <w:rFonts w:hint="eastAsia"/>
          <w:sz w:val="15"/>
          <w:szCs w:val="15"/>
          <w:lang w:val="en-US" w:eastAsia="zh-CN"/>
        </w:rPr>
        <w:t>冀A4571W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