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郭跃空</w:t>
      </w:r>
      <w:r>
        <w:rPr>
          <w:rFonts w:hint="eastAsia"/>
          <w:sz w:val="15"/>
          <w:szCs w:val="15"/>
          <w:highlight w:val="none"/>
        </w:rPr>
        <w:t>，</w:t>
      </w:r>
      <w:r>
        <w:rPr>
          <w:rFonts w:hint="eastAsia"/>
          <w:sz w:val="15"/>
          <w:szCs w:val="15"/>
          <w:highlight w:val="none"/>
          <w:lang w:val="en-US" w:eastAsia="zh-CN"/>
        </w:rPr>
        <w:t>132335197512220410</w:t>
      </w:r>
      <w:r>
        <w:rPr>
          <w:rFonts w:hint="eastAsia"/>
          <w:sz w:val="15"/>
          <w:szCs w:val="15"/>
        </w:rPr>
        <w:t xml:space="preserve">  </w:t>
      </w:r>
      <w:r>
        <w:rPr>
          <w:rFonts w:hint="eastAsia"/>
          <w:sz w:val="15"/>
          <w:szCs w:val="15"/>
          <w:lang w:val="en-US" w:eastAsia="zh-CN"/>
        </w:rPr>
        <w:t>晋C00861D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