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李怀联</w:t>
      </w:r>
      <w:r>
        <w:rPr>
          <w:rFonts w:hint="eastAsia"/>
          <w:sz w:val="15"/>
          <w:szCs w:val="15"/>
          <w:highlight w:val="none"/>
        </w:rPr>
        <w:t>，</w:t>
      </w:r>
      <w:r>
        <w:rPr>
          <w:rFonts w:hint="eastAsia"/>
          <w:sz w:val="15"/>
          <w:szCs w:val="15"/>
          <w:highlight w:val="none"/>
          <w:lang w:val="en-US" w:eastAsia="zh-CN"/>
        </w:rPr>
        <w:t>132335197109130722</w:t>
      </w:r>
      <w:r>
        <w:rPr>
          <w:rFonts w:hint="eastAsia"/>
          <w:sz w:val="15"/>
          <w:szCs w:val="15"/>
        </w:rPr>
        <w:t xml:space="preserve">  </w:t>
      </w:r>
      <w:r>
        <w:rPr>
          <w:rFonts w:hint="eastAsia"/>
          <w:sz w:val="15"/>
          <w:szCs w:val="15"/>
          <w:lang w:val="en-US" w:eastAsia="zh-CN"/>
        </w:rPr>
        <w:t>冀A5968Y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