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李占平</w:t>
      </w:r>
      <w:r>
        <w:rPr>
          <w:rFonts w:hint="eastAsia"/>
          <w:sz w:val="15"/>
          <w:szCs w:val="15"/>
          <w:highlight w:val="none"/>
        </w:rPr>
        <w:t>，</w:t>
      </w:r>
      <w:r>
        <w:rPr>
          <w:rFonts w:hint="eastAsia"/>
          <w:sz w:val="15"/>
          <w:szCs w:val="15"/>
          <w:highlight w:val="none"/>
          <w:lang w:val="en-US" w:eastAsia="zh-CN"/>
        </w:rPr>
        <w:t>132335197008250864</w:t>
      </w:r>
      <w:r>
        <w:rPr>
          <w:rFonts w:hint="eastAsia"/>
          <w:sz w:val="15"/>
          <w:szCs w:val="15"/>
        </w:rPr>
        <w:t xml:space="preserve">  </w:t>
      </w:r>
      <w:r>
        <w:rPr>
          <w:rFonts w:hint="eastAsia"/>
          <w:sz w:val="15"/>
          <w:szCs w:val="15"/>
          <w:lang w:val="en-US" w:eastAsia="zh-CN"/>
        </w:rPr>
        <w:t>冀A03950D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