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刘文军</w:t>
      </w:r>
      <w:r>
        <w:rPr>
          <w:rFonts w:hint="eastAsia"/>
          <w:sz w:val="15"/>
          <w:szCs w:val="15"/>
          <w:highlight w:val="none"/>
        </w:rPr>
        <w:t>，</w:t>
      </w:r>
      <w:r>
        <w:rPr>
          <w:rFonts w:hint="eastAsia"/>
          <w:sz w:val="15"/>
          <w:szCs w:val="15"/>
          <w:highlight w:val="none"/>
          <w:lang w:val="en-US" w:eastAsia="zh-CN"/>
        </w:rPr>
        <w:t>132335196901190863</w:t>
      </w:r>
      <w:r>
        <w:rPr>
          <w:rFonts w:hint="eastAsia"/>
          <w:sz w:val="15"/>
          <w:szCs w:val="15"/>
        </w:rPr>
        <w:t xml:space="preserve">  </w:t>
      </w:r>
      <w:r>
        <w:rPr>
          <w:rFonts w:hint="eastAsia"/>
          <w:sz w:val="15"/>
          <w:szCs w:val="15"/>
          <w:lang w:val="en-US" w:eastAsia="zh-CN"/>
        </w:rPr>
        <w:t>冀A03950D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