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贾兰风</w:t>
      </w:r>
      <w:r>
        <w:rPr>
          <w:rFonts w:hint="eastAsia"/>
          <w:sz w:val="15"/>
          <w:szCs w:val="15"/>
          <w:highlight w:val="none"/>
        </w:rPr>
        <w:t>，</w:t>
      </w:r>
      <w:r>
        <w:rPr>
          <w:rFonts w:hint="eastAsia"/>
          <w:sz w:val="15"/>
          <w:szCs w:val="15"/>
          <w:highlight w:val="none"/>
          <w:lang w:val="en-US" w:eastAsia="zh-CN"/>
        </w:rPr>
        <w:t>132335196710200889</w:t>
      </w:r>
      <w:r>
        <w:rPr>
          <w:rFonts w:hint="eastAsia"/>
          <w:sz w:val="15"/>
          <w:szCs w:val="15"/>
        </w:rPr>
        <w:t xml:space="preserve">  </w:t>
      </w:r>
      <w:r>
        <w:rPr>
          <w:rFonts w:hint="eastAsia"/>
          <w:sz w:val="15"/>
          <w:szCs w:val="15"/>
          <w:lang w:val="en-US" w:eastAsia="zh-CN"/>
        </w:rPr>
        <w:t>冀AT6088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