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曹立军</w:t>
      </w:r>
      <w:r>
        <w:rPr>
          <w:rFonts w:hint="eastAsia"/>
          <w:sz w:val="15"/>
          <w:szCs w:val="15"/>
          <w:highlight w:val="none"/>
        </w:rPr>
        <w:t>，</w:t>
      </w:r>
      <w:r>
        <w:rPr>
          <w:rFonts w:hint="eastAsia"/>
          <w:sz w:val="15"/>
          <w:szCs w:val="15"/>
          <w:highlight w:val="none"/>
          <w:lang w:val="en-US" w:eastAsia="zh-CN"/>
        </w:rPr>
        <w:t>132330196904131816</w:t>
      </w:r>
      <w:r>
        <w:rPr>
          <w:rFonts w:hint="eastAsia"/>
          <w:sz w:val="15"/>
          <w:szCs w:val="15"/>
        </w:rPr>
        <w:t xml:space="preserve">  </w:t>
      </w:r>
      <w:r>
        <w:rPr>
          <w:rFonts w:hint="eastAsia"/>
          <w:sz w:val="15"/>
          <w:szCs w:val="15"/>
          <w:lang w:val="en-US" w:eastAsia="zh-CN"/>
        </w:rPr>
        <w:t>鲁Q675JN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