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杜建永</w:t>
      </w:r>
      <w:r>
        <w:rPr>
          <w:rFonts w:hint="eastAsia"/>
          <w:sz w:val="15"/>
          <w:szCs w:val="15"/>
          <w:highlight w:val="none"/>
        </w:rPr>
        <w:t>，</w:t>
      </w:r>
      <w:r>
        <w:rPr>
          <w:rFonts w:hint="eastAsia"/>
          <w:sz w:val="15"/>
          <w:szCs w:val="15"/>
          <w:highlight w:val="none"/>
          <w:lang w:val="en-US" w:eastAsia="zh-CN"/>
        </w:rPr>
        <w:t>132302197803155017</w:t>
      </w:r>
      <w:r>
        <w:rPr>
          <w:rFonts w:hint="eastAsia"/>
          <w:sz w:val="15"/>
          <w:szCs w:val="15"/>
        </w:rPr>
        <w:t xml:space="preserve">  </w:t>
      </w:r>
      <w:r>
        <w:rPr>
          <w:rFonts w:hint="eastAsia"/>
          <w:sz w:val="15"/>
          <w:szCs w:val="15"/>
          <w:lang w:val="en-US" w:eastAsia="zh-CN"/>
        </w:rPr>
        <w:t>冀A869M9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