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刘增学</w:t>
      </w:r>
      <w:r>
        <w:rPr>
          <w:rFonts w:hint="eastAsia"/>
          <w:sz w:val="15"/>
          <w:szCs w:val="15"/>
          <w:highlight w:val="none"/>
        </w:rPr>
        <w:t>，</w:t>
      </w:r>
      <w:r>
        <w:rPr>
          <w:rFonts w:hint="eastAsia"/>
          <w:sz w:val="15"/>
          <w:szCs w:val="15"/>
          <w:highlight w:val="none"/>
          <w:lang w:val="en-US" w:eastAsia="zh-CN"/>
        </w:rPr>
        <w:t>132233197905071753</w:t>
      </w:r>
      <w:r>
        <w:rPr>
          <w:rFonts w:hint="eastAsia"/>
          <w:sz w:val="15"/>
          <w:szCs w:val="15"/>
        </w:rPr>
        <w:t xml:space="preserve">  </w:t>
      </w:r>
      <w:r>
        <w:rPr>
          <w:rFonts w:hint="eastAsia"/>
          <w:sz w:val="15"/>
          <w:szCs w:val="15"/>
          <w:lang w:val="en-US" w:eastAsia="zh-CN"/>
        </w:rPr>
        <w:t>冀A000ZZ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