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韩跃刚</w:t>
      </w:r>
      <w:r>
        <w:rPr>
          <w:rFonts w:hint="eastAsia"/>
          <w:sz w:val="15"/>
          <w:szCs w:val="15"/>
          <w:highlight w:val="none"/>
        </w:rPr>
        <w:t>，</w:t>
      </w:r>
      <w:r>
        <w:rPr>
          <w:rFonts w:hint="eastAsia"/>
          <w:sz w:val="15"/>
          <w:szCs w:val="15"/>
          <w:highlight w:val="none"/>
          <w:lang w:val="en-US" w:eastAsia="zh-CN"/>
        </w:rPr>
        <w:t>132135197302070716</w:t>
      </w:r>
      <w:r>
        <w:rPr>
          <w:rFonts w:hint="eastAsia"/>
          <w:sz w:val="15"/>
          <w:szCs w:val="15"/>
        </w:rPr>
        <w:t xml:space="preserve">  </w:t>
      </w:r>
      <w:r>
        <w:rPr>
          <w:rFonts w:hint="eastAsia"/>
          <w:sz w:val="15"/>
          <w:szCs w:val="15"/>
          <w:lang w:val="en-US" w:eastAsia="zh-CN"/>
        </w:rPr>
        <w:t>冀D3L921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