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杜亚楠</w:t>
      </w:r>
      <w:r>
        <w:rPr>
          <w:rFonts w:hint="eastAsia"/>
          <w:sz w:val="15"/>
          <w:szCs w:val="15"/>
          <w:highlight w:val="none"/>
        </w:rPr>
        <w:t>，</w:t>
      </w:r>
      <w:r>
        <w:rPr>
          <w:rFonts w:hint="eastAsia"/>
          <w:sz w:val="15"/>
          <w:szCs w:val="15"/>
          <w:highlight w:val="none"/>
          <w:lang w:val="en-US" w:eastAsia="zh-CN"/>
        </w:rPr>
        <w:t>131122198605251620</w:t>
      </w:r>
      <w:r>
        <w:rPr>
          <w:rFonts w:hint="eastAsia"/>
          <w:sz w:val="15"/>
          <w:szCs w:val="15"/>
        </w:rPr>
        <w:t xml:space="preserve">  </w:t>
      </w:r>
      <w:r>
        <w:rPr>
          <w:rFonts w:hint="eastAsia"/>
          <w:sz w:val="15"/>
          <w:szCs w:val="15"/>
          <w:lang w:val="en-US" w:eastAsia="zh-CN"/>
        </w:rPr>
        <w:t>冀T40113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