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周冀红</w:t>
      </w:r>
      <w:r>
        <w:rPr>
          <w:rFonts w:hint="eastAsia"/>
          <w:sz w:val="15"/>
          <w:szCs w:val="15"/>
          <w:highlight w:val="none"/>
        </w:rPr>
        <w:t>，</w:t>
      </w:r>
      <w:r>
        <w:rPr>
          <w:rFonts w:hint="eastAsia"/>
          <w:sz w:val="15"/>
          <w:szCs w:val="15"/>
          <w:highlight w:val="none"/>
          <w:lang w:val="en-US" w:eastAsia="zh-CN"/>
        </w:rPr>
        <w:t>131122198004281242</w:t>
      </w:r>
      <w:r>
        <w:rPr>
          <w:rFonts w:hint="eastAsia"/>
          <w:sz w:val="15"/>
          <w:szCs w:val="15"/>
        </w:rPr>
        <w:t xml:space="preserve">  </w:t>
      </w:r>
      <w:r>
        <w:rPr>
          <w:rFonts w:hint="eastAsia"/>
          <w:sz w:val="15"/>
          <w:szCs w:val="15"/>
          <w:lang w:val="en-US" w:eastAsia="zh-CN"/>
        </w:rPr>
        <w:t>冀TF0833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