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任文超</w:t>
      </w:r>
      <w:r>
        <w:rPr>
          <w:rFonts w:hint="eastAsia"/>
          <w:sz w:val="15"/>
          <w:szCs w:val="15"/>
          <w:highlight w:val="none"/>
        </w:rPr>
        <w:t>，</w:t>
      </w:r>
      <w:r>
        <w:rPr>
          <w:rFonts w:hint="eastAsia"/>
          <w:sz w:val="15"/>
          <w:szCs w:val="15"/>
          <w:highlight w:val="none"/>
          <w:lang w:val="en-US" w:eastAsia="zh-CN"/>
        </w:rPr>
        <w:t>130902198809201817</w:t>
      </w:r>
      <w:r>
        <w:rPr>
          <w:rFonts w:hint="eastAsia"/>
          <w:sz w:val="15"/>
          <w:szCs w:val="15"/>
        </w:rPr>
        <w:t xml:space="preserve">  </w:t>
      </w:r>
      <w:r>
        <w:rPr>
          <w:rFonts w:hint="eastAsia"/>
          <w:sz w:val="15"/>
          <w:szCs w:val="15"/>
          <w:lang w:val="en-US" w:eastAsia="zh-CN"/>
        </w:rPr>
        <w:t>冀J05739D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