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张晓静</w:t>
      </w:r>
      <w:r>
        <w:rPr>
          <w:rFonts w:hint="eastAsia"/>
          <w:sz w:val="15"/>
          <w:szCs w:val="15"/>
          <w:highlight w:val="none"/>
        </w:rPr>
        <w:t>，</w:t>
      </w:r>
      <w:r>
        <w:rPr>
          <w:rFonts w:hint="eastAsia"/>
          <w:sz w:val="15"/>
          <w:szCs w:val="15"/>
          <w:highlight w:val="none"/>
          <w:lang w:val="en-US" w:eastAsia="zh-CN"/>
        </w:rPr>
        <w:t>130822198210185224</w:t>
      </w:r>
      <w:r>
        <w:rPr>
          <w:rFonts w:hint="eastAsia"/>
          <w:sz w:val="15"/>
          <w:szCs w:val="15"/>
        </w:rPr>
        <w:t xml:space="preserve">  </w:t>
      </w:r>
      <w:r>
        <w:rPr>
          <w:rFonts w:hint="eastAsia"/>
          <w:sz w:val="15"/>
          <w:szCs w:val="15"/>
          <w:lang w:val="en-US" w:eastAsia="zh-CN"/>
        </w:rPr>
        <w:t>沪A13998A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