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刘永建</w:t>
      </w:r>
      <w:r>
        <w:rPr>
          <w:rFonts w:hint="eastAsia"/>
          <w:sz w:val="15"/>
          <w:szCs w:val="15"/>
          <w:highlight w:val="none"/>
        </w:rPr>
        <w:t>，</w:t>
      </w:r>
      <w:r>
        <w:rPr>
          <w:rFonts w:hint="eastAsia"/>
          <w:sz w:val="15"/>
          <w:szCs w:val="15"/>
          <w:highlight w:val="none"/>
          <w:lang w:val="en-US" w:eastAsia="zh-CN"/>
        </w:rPr>
        <w:t>130682198105211713</w:t>
      </w:r>
      <w:r>
        <w:rPr>
          <w:rFonts w:hint="eastAsia"/>
          <w:sz w:val="15"/>
          <w:szCs w:val="15"/>
        </w:rPr>
        <w:t xml:space="preserve">  </w:t>
      </w:r>
      <w:r>
        <w:rPr>
          <w:rFonts w:hint="eastAsia"/>
          <w:sz w:val="15"/>
          <w:szCs w:val="15"/>
          <w:lang w:val="en-US" w:eastAsia="zh-CN"/>
        </w:rPr>
        <w:t>冀A37605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