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刘红克</w:t>
      </w:r>
      <w:r>
        <w:rPr>
          <w:rFonts w:hint="eastAsia"/>
          <w:sz w:val="15"/>
          <w:szCs w:val="15"/>
          <w:highlight w:val="none"/>
        </w:rPr>
        <w:t>，</w:t>
      </w:r>
      <w:r>
        <w:rPr>
          <w:rFonts w:hint="eastAsia"/>
          <w:sz w:val="15"/>
          <w:szCs w:val="15"/>
          <w:highlight w:val="none"/>
          <w:lang w:val="en-US" w:eastAsia="zh-CN"/>
        </w:rPr>
        <w:t>130625197401260438</w:t>
      </w:r>
      <w:r>
        <w:rPr>
          <w:rFonts w:hint="eastAsia"/>
          <w:sz w:val="15"/>
          <w:szCs w:val="15"/>
        </w:rPr>
        <w:t xml:space="preserve">  </w:t>
      </w:r>
      <w:r>
        <w:rPr>
          <w:rFonts w:hint="eastAsia"/>
          <w:sz w:val="15"/>
          <w:szCs w:val="15"/>
          <w:lang w:val="en-US" w:eastAsia="zh-CN"/>
        </w:rPr>
        <w:t>冀FT5830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