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殷铎</w:t>
      </w:r>
      <w:r>
        <w:rPr>
          <w:rFonts w:hint="eastAsia"/>
          <w:sz w:val="15"/>
          <w:szCs w:val="15"/>
          <w:highlight w:val="none"/>
        </w:rPr>
        <w:t>，</w:t>
      </w:r>
      <w:r>
        <w:rPr>
          <w:rFonts w:hint="eastAsia"/>
          <w:sz w:val="15"/>
          <w:szCs w:val="15"/>
          <w:highlight w:val="none"/>
          <w:lang w:val="en-US" w:eastAsia="zh-CN"/>
        </w:rPr>
        <w:t>130603198802152119</w:t>
      </w:r>
      <w:r>
        <w:rPr>
          <w:rFonts w:hint="eastAsia"/>
          <w:sz w:val="15"/>
          <w:szCs w:val="15"/>
        </w:rPr>
        <w:t xml:space="preserve">  </w:t>
      </w:r>
      <w:r>
        <w:rPr>
          <w:rFonts w:hint="eastAsia"/>
          <w:sz w:val="15"/>
          <w:szCs w:val="15"/>
          <w:lang w:val="en-US" w:eastAsia="zh-CN"/>
        </w:rPr>
        <w:t>冀A40291D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