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肖豆豆</w:t>
      </w:r>
      <w:r>
        <w:rPr>
          <w:rFonts w:hint="eastAsia"/>
          <w:sz w:val="15"/>
          <w:szCs w:val="15"/>
          <w:highlight w:val="none"/>
        </w:rPr>
        <w:t>，</w:t>
      </w:r>
      <w:r>
        <w:rPr>
          <w:rFonts w:hint="eastAsia"/>
          <w:sz w:val="15"/>
          <w:szCs w:val="15"/>
          <w:highlight w:val="none"/>
          <w:lang w:val="en-US" w:eastAsia="zh-CN"/>
        </w:rPr>
        <w:t>130533198902150041</w:t>
      </w:r>
      <w:r>
        <w:rPr>
          <w:rFonts w:hint="eastAsia"/>
          <w:sz w:val="15"/>
          <w:szCs w:val="15"/>
        </w:rPr>
        <w:t xml:space="preserve">  </w:t>
      </w:r>
      <w:r>
        <w:rPr>
          <w:rFonts w:hint="eastAsia"/>
          <w:sz w:val="15"/>
          <w:szCs w:val="15"/>
          <w:lang w:val="en-US" w:eastAsia="zh-CN"/>
        </w:rPr>
        <w:t>冀A79868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