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柳永科</w:t>
      </w:r>
      <w:r>
        <w:rPr>
          <w:rFonts w:hint="eastAsia"/>
          <w:sz w:val="15"/>
          <w:szCs w:val="15"/>
          <w:highlight w:val="none"/>
        </w:rPr>
        <w:t>，</w:t>
      </w:r>
      <w:r>
        <w:rPr>
          <w:rFonts w:hint="eastAsia"/>
          <w:sz w:val="15"/>
          <w:szCs w:val="15"/>
          <w:highlight w:val="none"/>
          <w:lang w:val="en-US" w:eastAsia="zh-CN"/>
        </w:rPr>
        <w:t>130527198108270559</w:t>
      </w:r>
      <w:r>
        <w:rPr>
          <w:rFonts w:hint="eastAsia"/>
          <w:sz w:val="15"/>
          <w:szCs w:val="15"/>
        </w:rPr>
        <w:t xml:space="preserve">  </w:t>
      </w:r>
      <w:r>
        <w:rPr>
          <w:rFonts w:hint="eastAsia"/>
          <w:sz w:val="15"/>
          <w:szCs w:val="15"/>
          <w:lang w:val="en-US" w:eastAsia="zh-CN"/>
        </w:rPr>
        <w:t>冀A33379D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