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桂晟溥</w:t>
      </w:r>
      <w:r>
        <w:rPr>
          <w:rFonts w:hint="eastAsia"/>
          <w:sz w:val="15"/>
          <w:szCs w:val="15"/>
          <w:highlight w:val="none"/>
        </w:rPr>
        <w:t>，</w:t>
      </w:r>
      <w:r>
        <w:rPr>
          <w:rFonts w:hint="eastAsia"/>
          <w:sz w:val="15"/>
          <w:szCs w:val="15"/>
          <w:highlight w:val="none"/>
          <w:lang w:val="en-US" w:eastAsia="zh-CN"/>
        </w:rPr>
        <w:t>130425200608013032</w:t>
      </w:r>
      <w:r>
        <w:rPr>
          <w:rFonts w:hint="eastAsia"/>
          <w:sz w:val="15"/>
          <w:szCs w:val="15"/>
        </w:rPr>
        <w:t xml:space="preserve">  </w:t>
      </w:r>
      <w:r>
        <w:rPr>
          <w:rFonts w:hint="eastAsia"/>
          <w:sz w:val="15"/>
          <w:szCs w:val="15"/>
          <w:lang w:val="en-US" w:eastAsia="zh-CN"/>
        </w:rPr>
        <w:t>冀D07401D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