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董雪莹</w:t>
      </w:r>
      <w:r>
        <w:rPr>
          <w:rFonts w:hint="eastAsia"/>
          <w:sz w:val="15"/>
          <w:szCs w:val="15"/>
          <w:highlight w:val="none"/>
        </w:rPr>
        <w:t>，</w:t>
      </w:r>
      <w:r>
        <w:rPr>
          <w:rFonts w:hint="eastAsia"/>
          <w:sz w:val="15"/>
          <w:szCs w:val="15"/>
          <w:highlight w:val="none"/>
          <w:lang w:val="en-US" w:eastAsia="zh-CN"/>
        </w:rPr>
        <w:t>130425198507201827</w:t>
      </w:r>
      <w:r>
        <w:rPr>
          <w:rFonts w:hint="eastAsia"/>
          <w:sz w:val="15"/>
          <w:szCs w:val="15"/>
        </w:rPr>
        <w:t xml:space="preserve">  </w:t>
      </w:r>
      <w:r>
        <w:rPr>
          <w:rFonts w:hint="eastAsia"/>
          <w:sz w:val="15"/>
          <w:szCs w:val="15"/>
          <w:lang w:val="en-US" w:eastAsia="zh-CN"/>
        </w:rPr>
        <w:t>冀D07594D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