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郭宇坤</w:t>
      </w:r>
      <w:r>
        <w:rPr>
          <w:rFonts w:hint="eastAsia"/>
          <w:sz w:val="15"/>
          <w:szCs w:val="15"/>
          <w:highlight w:val="none"/>
        </w:rPr>
        <w:t>，</w:t>
      </w:r>
      <w:r>
        <w:rPr>
          <w:rFonts w:hint="eastAsia"/>
          <w:sz w:val="15"/>
          <w:szCs w:val="15"/>
          <w:highlight w:val="none"/>
          <w:lang w:val="en-US" w:eastAsia="zh-CN"/>
        </w:rPr>
        <w:t>130423200609034350</w:t>
      </w:r>
      <w:r>
        <w:rPr>
          <w:rFonts w:hint="eastAsia"/>
          <w:sz w:val="15"/>
          <w:szCs w:val="15"/>
        </w:rPr>
        <w:t xml:space="preserve">  </w:t>
      </w:r>
      <w:r>
        <w:rPr>
          <w:rFonts w:hint="eastAsia"/>
          <w:sz w:val="15"/>
          <w:szCs w:val="15"/>
          <w:lang w:val="en-US" w:eastAsia="zh-CN"/>
        </w:rPr>
        <w:t>冀DJ5493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