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姚海富</w:t>
      </w:r>
      <w:r>
        <w:rPr>
          <w:rFonts w:hint="eastAsia"/>
          <w:sz w:val="15"/>
          <w:szCs w:val="15"/>
          <w:highlight w:val="none"/>
        </w:rPr>
        <w:t>，</w:t>
      </w:r>
      <w:r>
        <w:rPr>
          <w:rFonts w:hint="eastAsia"/>
          <w:sz w:val="15"/>
          <w:szCs w:val="15"/>
          <w:highlight w:val="none"/>
          <w:lang w:val="en-US" w:eastAsia="zh-CN"/>
        </w:rPr>
        <w:t>130402197405051830</w:t>
      </w:r>
      <w:r>
        <w:rPr>
          <w:rFonts w:hint="eastAsia"/>
          <w:sz w:val="15"/>
          <w:szCs w:val="15"/>
        </w:rPr>
        <w:t xml:space="preserve">  </w:t>
      </w:r>
      <w:r>
        <w:rPr>
          <w:rFonts w:hint="eastAsia"/>
          <w:sz w:val="15"/>
          <w:szCs w:val="15"/>
          <w:lang w:val="en-US" w:eastAsia="zh-CN"/>
        </w:rPr>
        <w:t>冀D15556D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