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李彤</w:t>
      </w:r>
      <w:r>
        <w:rPr>
          <w:rFonts w:hint="eastAsia"/>
          <w:sz w:val="15"/>
          <w:szCs w:val="15"/>
          <w:highlight w:val="none"/>
        </w:rPr>
        <w:t>，</w:t>
      </w:r>
      <w:r>
        <w:rPr>
          <w:rFonts w:hint="eastAsia"/>
          <w:sz w:val="15"/>
          <w:szCs w:val="15"/>
          <w:highlight w:val="none"/>
          <w:lang w:val="en-US" w:eastAsia="zh-CN"/>
        </w:rPr>
        <w:t>130185199212272518</w:t>
      </w:r>
      <w:r>
        <w:rPr>
          <w:rFonts w:hint="eastAsia"/>
          <w:sz w:val="15"/>
          <w:szCs w:val="15"/>
        </w:rPr>
        <w:t xml:space="preserve">  </w:t>
      </w:r>
      <w:r>
        <w:rPr>
          <w:rFonts w:hint="eastAsia"/>
          <w:sz w:val="15"/>
          <w:szCs w:val="15"/>
          <w:lang w:val="en-US" w:eastAsia="zh-CN"/>
        </w:rPr>
        <w:t>冀A05P85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