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崔泽宁</w:t>
      </w:r>
      <w:r>
        <w:rPr>
          <w:rFonts w:hint="eastAsia"/>
          <w:sz w:val="15"/>
          <w:szCs w:val="15"/>
          <w:highlight w:val="none"/>
        </w:rPr>
        <w:t>，</w:t>
      </w:r>
      <w:r>
        <w:rPr>
          <w:rFonts w:hint="eastAsia"/>
          <w:sz w:val="15"/>
          <w:szCs w:val="15"/>
          <w:highlight w:val="none"/>
          <w:lang w:val="en-US" w:eastAsia="zh-CN"/>
        </w:rPr>
        <w:t>13018519870419251X</w:t>
      </w:r>
      <w:r>
        <w:rPr>
          <w:rFonts w:hint="eastAsia"/>
          <w:sz w:val="15"/>
          <w:szCs w:val="15"/>
        </w:rPr>
        <w:t xml:space="preserve">  </w:t>
      </w:r>
      <w:r>
        <w:rPr>
          <w:rFonts w:hint="eastAsia"/>
          <w:sz w:val="15"/>
          <w:szCs w:val="15"/>
          <w:lang w:val="en-US" w:eastAsia="zh-CN"/>
        </w:rPr>
        <w:t>冀A84873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