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朱亚强</w:t>
      </w:r>
      <w:r>
        <w:rPr>
          <w:rFonts w:hint="eastAsia"/>
          <w:sz w:val="15"/>
          <w:szCs w:val="15"/>
          <w:highlight w:val="none"/>
        </w:rPr>
        <w:t>，</w:t>
      </w:r>
      <w:r>
        <w:rPr>
          <w:rFonts w:hint="eastAsia"/>
          <w:sz w:val="15"/>
          <w:szCs w:val="15"/>
          <w:highlight w:val="none"/>
          <w:lang w:val="en-US" w:eastAsia="zh-CN"/>
        </w:rPr>
        <w:t>130184199004084516</w:t>
      </w:r>
      <w:r>
        <w:rPr>
          <w:rFonts w:hint="eastAsia"/>
          <w:sz w:val="15"/>
          <w:szCs w:val="15"/>
        </w:rPr>
        <w:t xml:space="preserve">  </w:t>
      </w:r>
      <w:r>
        <w:rPr>
          <w:rFonts w:hint="eastAsia"/>
          <w:sz w:val="15"/>
          <w:szCs w:val="15"/>
          <w:lang w:val="en-US" w:eastAsia="zh-CN"/>
        </w:rPr>
        <w:t>冀AGF041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