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霍朋</w:t>
      </w:r>
      <w:r>
        <w:rPr>
          <w:rFonts w:hint="eastAsia"/>
          <w:sz w:val="15"/>
          <w:szCs w:val="15"/>
          <w:highlight w:val="none"/>
        </w:rPr>
        <w:t>，</w:t>
      </w:r>
      <w:r>
        <w:rPr>
          <w:rFonts w:hint="eastAsia"/>
          <w:sz w:val="15"/>
          <w:szCs w:val="15"/>
          <w:highlight w:val="none"/>
          <w:lang w:val="en-US" w:eastAsia="zh-CN"/>
        </w:rPr>
        <w:t>130184198711134514</w:t>
      </w:r>
      <w:r>
        <w:rPr>
          <w:rFonts w:hint="eastAsia"/>
          <w:sz w:val="15"/>
          <w:szCs w:val="15"/>
        </w:rPr>
        <w:t xml:space="preserve">  </w:t>
      </w:r>
      <w:r>
        <w:rPr>
          <w:rFonts w:hint="eastAsia"/>
          <w:sz w:val="15"/>
          <w:szCs w:val="15"/>
          <w:lang w:val="en-US" w:eastAsia="zh-CN"/>
        </w:rPr>
        <w:t>冀A383AZ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