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和峰</w:t>
      </w:r>
      <w:r>
        <w:rPr>
          <w:rFonts w:hint="eastAsia"/>
          <w:sz w:val="15"/>
          <w:szCs w:val="15"/>
          <w:highlight w:val="none"/>
        </w:rPr>
        <w:t>，</w:t>
      </w:r>
      <w:r>
        <w:rPr>
          <w:rFonts w:hint="eastAsia"/>
          <w:sz w:val="15"/>
          <w:szCs w:val="15"/>
          <w:highlight w:val="none"/>
          <w:lang w:val="en-US" w:eastAsia="zh-CN"/>
        </w:rPr>
        <w:t>130184198612200619</w:t>
      </w:r>
      <w:r>
        <w:rPr>
          <w:rFonts w:hint="eastAsia"/>
          <w:sz w:val="15"/>
          <w:szCs w:val="15"/>
        </w:rPr>
        <w:t xml:space="preserve">  </w:t>
      </w:r>
      <w:r>
        <w:rPr>
          <w:rFonts w:hint="eastAsia"/>
          <w:sz w:val="15"/>
          <w:szCs w:val="15"/>
          <w:lang w:val="en-US" w:eastAsia="zh-CN"/>
        </w:rPr>
        <w:t>冀AB5852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