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丁慧宾</w:t>
      </w:r>
      <w:r>
        <w:rPr>
          <w:rFonts w:hint="eastAsia"/>
          <w:sz w:val="15"/>
          <w:szCs w:val="15"/>
          <w:highlight w:val="none"/>
        </w:rPr>
        <w:t>，</w:t>
      </w:r>
      <w:r>
        <w:rPr>
          <w:rFonts w:hint="eastAsia"/>
          <w:sz w:val="15"/>
          <w:szCs w:val="15"/>
          <w:highlight w:val="none"/>
          <w:lang w:val="en-US" w:eastAsia="zh-CN"/>
        </w:rPr>
        <w:t>130184198410284519</w:t>
      </w:r>
      <w:r>
        <w:rPr>
          <w:rFonts w:hint="eastAsia"/>
          <w:sz w:val="15"/>
          <w:szCs w:val="15"/>
        </w:rPr>
        <w:t xml:space="preserve">  </w:t>
      </w:r>
      <w:r>
        <w:rPr>
          <w:rFonts w:hint="eastAsia"/>
          <w:sz w:val="15"/>
          <w:szCs w:val="15"/>
          <w:lang w:val="en-US" w:eastAsia="zh-CN"/>
        </w:rPr>
        <w:t>冀AW3234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