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杨宁</w:t>
      </w:r>
      <w:r>
        <w:rPr>
          <w:rFonts w:hint="eastAsia"/>
          <w:sz w:val="15"/>
          <w:szCs w:val="15"/>
          <w:highlight w:val="none"/>
        </w:rPr>
        <w:t>，</w:t>
      </w:r>
      <w:r>
        <w:rPr>
          <w:rFonts w:hint="eastAsia"/>
          <w:sz w:val="15"/>
          <w:szCs w:val="15"/>
          <w:highlight w:val="none"/>
          <w:lang w:val="en-US" w:eastAsia="zh-CN"/>
        </w:rPr>
        <w:t>130184198406101070</w:t>
      </w:r>
      <w:r>
        <w:rPr>
          <w:rFonts w:hint="eastAsia"/>
          <w:sz w:val="15"/>
          <w:szCs w:val="15"/>
        </w:rPr>
        <w:t xml:space="preserve">  </w:t>
      </w:r>
      <w:r>
        <w:rPr>
          <w:rFonts w:hint="eastAsia"/>
          <w:sz w:val="15"/>
          <w:szCs w:val="15"/>
          <w:lang w:val="en-US" w:eastAsia="zh-CN"/>
        </w:rPr>
        <w:t>冀A45652D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