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董建新</w:t>
      </w:r>
      <w:r>
        <w:rPr>
          <w:rFonts w:hint="eastAsia"/>
          <w:sz w:val="15"/>
          <w:szCs w:val="15"/>
          <w:highlight w:val="none"/>
        </w:rPr>
        <w:t>，</w:t>
      </w:r>
      <w:r>
        <w:rPr>
          <w:rFonts w:hint="eastAsia"/>
          <w:sz w:val="15"/>
          <w:szCs w:val="15"/>
          <w:highlight w:val="none"/>
          <w:lang w:val="en-US" w:eastAsia="zh-CN"/>
        </w:rPr>
        <w:t>130184197801104576</w:t>
      </w:r>
      <w:r>
        <w:rPr>
          <w:rFonts w:hint="eastAsia"/>
          <w:sz w:val="15"/>
          <w:szCs w:val="15"/>
        </w:rPr>
        <w:t xml:space="preserve">  </w:t>
      </w:r>
      <w:r>
        <w:rPr>
          <w:rFonts w:hint="eastAsia"/>
          <w:sz w:val="15"/>
          <w:szCs w:val="15"/>
          <w:lang w:val="en-US" w:eastAsia="zh-CN"/>
        </w:rPr>
        <w:t>冀ATJ220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