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张秀林</w:t>
      </w:r>
      <w:r>
        <w:rPr>
          <w:rFonts w:hint="eastAsia"/>
          <w:sz w:val="15"/>
          <w:szCs w:val="15"/>
          <w:highlight w:val="none"/>
        </w:rPr>
        <w:t>，</w:t>
      </w:r>
      <w:r>
        <w:rPr>
          <w:rFonts w:hint="eastAsia"/>
          <w:sz w:val="15"/>
          <w:szCs w:val="15"/>
          <w:highlight w:val="none"/>
          <w:lang w:val="en-US" w:eastAsia="zh-CN"/>
        </w:rPr>
        <w:t>130182199008025342</w:t>
      </w:r>
      <w:r>
        <w:rPr>
          <w:rFonts w:hint="eastAsia"/>
          <w:sz w:val="15"/>
          <w:szCs w:val="15"/>
        </w:rPr>
        <w:t xml:space="preserve">  </w:t>
      </w:r>
      <w:r>
        <w:rPr>
          <w:rFonts w:hint="eastAsia"/>
          <w:sz w:val="15"/>
          <w:szCs w:val="15"/>
          <w:lang w:val="en-US" w:eastAsia="zh-CN"/>
        </w:rPr>
        <w:t>冀A987AF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