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赵晓亚</w:t>
      </w:r>
      <w:r>
        <w:rPr>
          <w:rFonts w:hint="eastAsia"/>
          <w:sz w:val="15"/>
          <w:szCs w:val="15"/>
          <w:highlight w:val="none"/>
        </w:rPr>
        <w:t>，</w:t>
      </w:r>
      <w:r>
        <w:rPr>
          <w:rFonts w:hint="eastAsia"/>
          <w:sz w:val="15"/>
          <w:szCs w:val="15"/>
          <w:highlight w:val="none"/>
          <w:lang w:val="en-US" w:eastAsia="zh-CN"/>
        </w:rPr>
        <w:t>130182198605215721</w:t>
      </w:r>
      <w:r>
        <w:rPr>
          <w:rFonts w:hint="eastAsia"/>
          <w:sz w:val="15"/>
          <w:szCs w:val="15"/>
        </w:rPr>
        <w:t xml:space="preserve">  </w:t>
      </w:r>
      <w:r>
        <w:rPr>
          <w:rFonts w:hint="eastAsia"/>
          <w:sz w:val="15"/>
          <w:szCs w:val="15"/>
          <w:lang w:val="en-US" w:eastAsia="zh-CN"/>
        </w:rPr>
        <w:t>冀AKH043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