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杜卫峰</w:t>
      </w:r>
      <w:r>
        <w:rPr>
          <w:rFonts w:hint="eastAsia"/>
          <w:sz w:val="15"/>
          <w:szCs w:val="15"/>
          <w:highlight w:val="none"/>
        </w:rPr>
        <w:t>，</w:t>
      </w:r>
      <w:r>
        <w:rPr>
          <w:rFonts w:hint="eastAsia"/>
          <w:sz w:val="15"/>
          <w:szCs w:val="15"/>
          <w:highlight w:val="none"/>
          <w:lang w:val="en-US" w:eastAsia="zh-CN"/>
        </w:rPr>
        <w:t>13018219860402531X</w:t>
      </w:r>
      <w:r>
        <w:rPr>
          <w:rFonts w:hint="eastAsia"/>
          <w:sz w:val="15"/>
          <w:szCs w:val="15"/>
        </w:rPr>
        <w:t xml:space="preserve">  </w:t>
      </w:r>
      <w:r>
        <w:rPr>
          <w:rFonts w:hint="eastAsia"/>
          <w:sz w:val="15"/>
          <w:szCs w:val="15"/>
          <w:lang w:val="en-US" w:eastAsia="zh-CN"/>
        </w:rPr>
        <w:t>冀ACM303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