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杜兴华</w:t>
      </w:r>
      <w:r>
        <w:rPr>
          <w:rFonts w:hint="eastAsia"/>
          <w:sz w:val="15"/>
          <w:szCs w:val="15"/>
          <w:highlight w:val="none"/>
        </w:rPr>
        <w:t>，</w:t>
      </w:r>
      <w:r>
        <w:rPr>
          <w:rFonts w:hint="eastAsia"/>
          <w:sz w:val="15"/>
          <w:szCs w:val="15"/>
          <w:highlight w:val="none"/>
          <w:lang w:val="en-US" w:eastAsia="zh-CN"/>
        </w:rPr>
        <w:t>13018219800506531X</w:t>
      </w:r>
      <w:r>
        <w:rPr>
          <w:rFonts w:hint="eastAsia"/>
          <w:sz w:val="15"/>
          <w:szCs w:val="15"/>
        </w:rPr>
        <w:t xml:space="preserve">  </w:t>
      </w:r>
      <w:r>
        <w:rPr>
          <w:rFonts w:hint="eastAsia"/>
          <w:sz w:val="15"/>
          <w:szCs w:val="15"/>
          <w:lang w:val="en-US" w:eastAsia="zh-CN"/>
        </w:rPr>
        <w:t>冀A9L762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