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冯素蕊</w:t>
      </w:r>
      <w:r>
        <w:rPr>
          <w:rFonts w:hint="eastAsia"/>
          <w:sz w:val="15"/>
          <w:szCs w:val="15"/>
          <w:highlight w:val="none"/>
        </w:rPr>
        <w:t>，</w:t>
      </w:r>
      <w:r>
        <w:rPr>
          <w:rFonts w:hint="eastAsia"/>
          <w:sz w:val="15"/>
          <w:szCs w:val="15"/>
          <w:highlight w:val="none"/>
          <w:lang w:val="en-US" w:eastAsia="zh-CN"/>
        </w:rPr>
        <w:t>130182196912035342</w:t>
      </w:r>
      <w:r>
        <w:rPr>
          <w:rFonts w:hint="eastAsia"/>
          <w:sz w:val="15"/>
          <w:szCs w:val="15"/>
        </w:rPr>
        <w:t xml:space="preserve">  </w:t>
      </w:r>
      <w:r>
        <w:rPr>
          <w:rFonts w:hint="eastAsia"/>
          <w:sz w:val="15"/>
          <w:szCs w:val="15"/>
          <w:lang w:val="en-US" w:eastAsia="zh-CN"/>
        </w:rPr>
        <w:t>冀A489AA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