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杜英敏</w:t>
      </w:r>
      <w:r>
        <w:rPr>
          <w:rFonts w:hint="eastAsia"/>
          <w:sz w:val="15"/>
          <w:szCs w:val="15"/>
          <w:highlight w:val="none"/>
        </w:rPr>
        <w:t>，</w:t>
      </w:r>
      <w:r>
        <w:rPr>
          <w:rFonts w:hint="eastAsia"/>
          <w:sz w:val="15"/>
          <w:szCs w:val="15"/>
          <w:highlight w:val="none"/>
          <w:lang w:val="en-US" w:eastAsia="zh-CN"/>
        </w:rPr>
        <w:t>130182196701305322</w:t>
      </w:r>
      <w:r>
        <w:rPr>
          <w:rFonts w:hint="eastAsia"/>
          <w:sz w:val="15"/>
          <w:szCs w:val="15"/>
        </w:rPr>
        <w:t xml:space="preserve">  </w:t>
      </w:r>
      <w:r>
        <w:rPr>
          <w:rFonts w:hint="eastAsia"/>
          <w:sz w:val="15"/>
          <w:szCs w:val="15"/>
          <w:lang w:val="en-US" w:eastAsia="zh-CN"/>
        </w:rPr>
        <w:t>冀AKR853</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