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霍晟卓</w:t>
      </w:r>
      <w:r>
        <w:rPr>
          <w:rFonts w:hint="eastAsia"/>
          <w:sz w:val="15"/>
          <w:szCs w:val="15"/>
          <w:highlight w:val="none"/>
        </w:rPr>
        <w:t>，</w:t>
      </w:r>
      <w:r>
        <w:rPr>
          <w:rFonts w:hint="eastAsia"/>
          <w:sz w:val="15"/>
          <w:szCs w:val="15"/>
          <w:highlight w:val="none"/>
          <w:lang w:val="en-US" w:eastAsia="zh-CN"/>
        </w:rPr>
        <w:t>130131200007273315</w:t>
      </w:r>
      <w:r>
        <w:rPr>
          <w:rFonts w:hint="eastAsia"/>
          <w:sz w:val="15"/>
          <w:szCs w:val="15"/>
        </w:rPr>
        <w:t xml:space="preserve">  </w:t>
      </w:r>
      <w:r>
        <w:rPr>
          <w:rFonts w:hint="eastAsia"/>
          <w:sz w:val="15"/>
          <w:szCs w:val="15"/>
          <w:lang w:val="en-US" w:eastAsia="zh-CN"/>
        </w:rPr>
        <w:t>冀A334UW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