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刘南君</w:t>
      </w:r>
      <w:r>
        <w:rPr>
          <w:rFonts w:hint="eastAsia"/>
          <w:sz w:val="15"/>
          <w:szCs w:val="15"/>
          <w:highlight w:val="none"/>
        </w:rPr>
        <w:t>，</w:t>
      </w:r>
      <w:r>
        <w:rPr>
          <w:rFonts w:hint="eastAsia"/>
          <w:sz w:val="15"/>
          <w:szCs w:val="15"/>
          <w:highlight w:val="none"/>
          <w:lang w:val="en-US" w:eastAsia="zh-CN"/>
        </w:rPr>
        <w:t>130131199411240018</w:t>
      </w:r>
      <w:r>
        <w:rPr>
          <w:rFonts w:hint="eastAsia"/>
          <w:sz w:val="15"/>
          <w:szCs w:val="15"/>
        </w:rPr>
        <w:t xml:space="preserve">  </w:t>
      </w:r>
      <w:r>
        <w:rPr>
          <w:rFonts w:hint="eastAsia"/>
          <w:sz w:val="15"/>
          <w:szCs w:val="15"/>
          <w:lang w:val="en-US" w:eastAsia="zh-CN"/>
        </w:rPr>
        <w:t>冀AWK003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