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商龙飞</w:t>
      </w:r>
      <w:r>
        <w:rPr>
          <w:rFonts w:hint="eastAsia"/>
          <w:sz w:val="15"/>
          <w:szCs w:val="15"/>
          <w:highlight w:val="none"/>
        </w:rPr>
        <w:t>，</w:t>
      </w:r>
      <w:r>
        <w:rPr>
          <w:rFonts w:hint="eastAsia"/>
          <w:sz w:val="15"/>
          <w:szCs w:val="15"/>
          <w:highlight w:val="none"/>
          <w:lang w:val="en-US" w:eastAsia="zh-CN"/>
        </w:rPr>
        <w:t>130131199408041819</w:t>
      </w:r>
      <w:r>
        <w:rPr>
          <w:rFonts w:hint="eastAsia"/>
          <w:sz w:val="15"/>
          <w:szCs w:val="15"/>
        </w:rPr>
        <w:t xml:space="preserve">  </w:t>
      </w:r>
      <w:r>
        <w:rPr>
          <w:rFonts w:hint="eastAsia"/>
          <w:sz w:val="15"/>
          <w:szCs w:val="15"/>
          <w:lang w:val="en-US" w:eastAsia="zh-CN"/>
        </w:rPr>
        <w:t>冀A930ZL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