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焦二鹏</w:t>
      </w:r>
      <w:r>
        <w:rPr>
          <w:rFonts w:hint="eastAsia"/>
          <w:sz w:val="15"/>
          <w:szCs w:val="15"/>
          <w:highlight w:val="none"/>
        </w:rPr>
        <w:t>，</w:t>
      </w:r>
      <w:r>
        <w:rPr>
          <w:rFonts w:hint="eastAsia"/>
          <w:sz w:val="15"/>
          <w:szCs w:val="15"/>
          <w:highlight w:val="none"/>
          <w:lang w:val="en-US" w:eastAsia="zh-CN"/>
        </w:rPr>
        <w:t>130131199307052113</w:t>
      </w:r>
      <w:r>
        <w:rPr>
          <w:rFonts w:hint="eastAsia"/>
          <w:sz w:val="15"/>
          <w:szCs w:val="15"/>
        </w:rPr>
        <w:t xml:space="preserve">  </w:t>
      </w:r>
      <w:r>
        <w:rPr>
          <w:rFonts w:hint="eastAsia"/>
          <w:sz w:val="15"/>
          <w:szCs w:val="15"/>
          <w:lang w:val="en-US" w:eastAsia="zh-CN"/>
        </w:rPr>
        <w:t>冀AY5778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