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王树龙</w:t>
      </w:r>
      <w:r>
        <w:rPr>
          <w:rFonts w:hint="eastAsia"/>
          <w:sz w:val="15"/>
          <w:szCs w:val="15"/>
          <w:highlight w:val="none"/>
        </w:rPr>
        <w:t>，</w:t>
      </w:r>
      <w:r>
        <w:rPr>
          <w:rFonts w:hint="eastAsia"/>
          <w:sz w:val="15"/>
          <w:szCs w:val="15"/>
          <w:highlight w:val="none"/>
          <w:lang w:val="en-US" w:eastAsia="zh-CN"/>
        </w:rPr>
        <w:t>130131199106155415</w:t>
      </w:r>
      <w:r>
        <w:rPr>
          <w:rFonts w:hint="eastAsia"/>
          <w:sz w:val="15"/>
          <w:szCs w:val="15"/>
        </w:rPr>
        <w:t xml:space="preserve">  </w:t>
      </w:r>
      <w:r>
        <w:rPr>
          <w:rFonts w:hint="eastAsia"/>
          <w:sz w:val="15"/>
          <w:szCs w:val="15"/>
          <w:lang w:val="en-US" w:eastAsia="zh-CN"/>
        </w:rPr>
        <w:t>晋C05561D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