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苏慧敏</w:t>
      </w:r>
      <w:r>
        <w:rPr>
          <w:rFonts w:hint="eastAsia"/>
          <w:sz w:val="15"/>
          <w:szCs w:val="15"/>
          <w:highlight w:val="none"/>
        </w:rPr>
        <w:t>，</w:t>
      </w:r>
      <w:r>
        <w:rPr>
          <w:rFonts w:hint="eastAsia"/>
          <w:sz w:val="15"/>
          <w:szCs w:val="15"/>
          <w:highlight w:val="none"/>
          <w:lang w:val="en-US" w:eastAsia="zh-CN"/>
        </w:rPr>
        <w:t>13013119907181255</w:t>
      </w:r>
      <w:r>
        <w:rPr>
          <w:rFonts w:hint="eastAsia"/>
          <w:sz w:val="15"/>
          <w:szCs w:val="15"/>
        </w:rPr>
        <w:t xml:space="preserve">  </w:t>
      </w:r>
      <w:r>
        <w:rPr>
          <w:rFonts w:hint="eastAsia"/>
          <w:sz w:val="15"/>
          <w:szCs w:val="15"/>
          <w:lang w:val="en-US" w:eastAsia="zh-CN"/>
        </w:rPr>
        <w:t>冀A10GZ8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