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康艳波</w:t>
      </w:r>
      <w:r>
        <w:rPr>
          <w:rFonts w:hint="eastAsia"/>
          <w:sz w:val="15"/>
          <w:szCs w:val="15"/>
          <w:highlight w:val="none"/>
        </w:rPr>
        <w:t>，</w:t>
      </w:r>
      <w:r>
        <w:rPr>
          <w:rFonts w:hint="eastAsia"/>
          <w:sz w:val="15"/>
          <w:szCs w:val="15"/>
          <w:highlight w:val="none"/>
          <w:lang w:val="en-US" w:eastAsia="zh-CN"/>
        </w:rPr>
        <w:t>130131199002220032</w:t>
      </w:r>
      <w:r>
        <w:rPr>
          <w:rFonts w:hint="eastAsia"/>
          <w:sz w:val="15"/>
          <w:szCs w:val="15"/>
        </w:rPr>
        <w:t xml:space="preserve">  </w:t>
      </w:r>
      <w:r>
        <w:rPr>
          <w:rFonts w:hint="eastAsia"/>
          <w:sz w:val="15"/>
          <w:szCs w:val="15"/>
          <w:lang w:val="en-US" w:eastAsia="zh-CN"/>
        </w:rPr>
        <w:t>冀A02222D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