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利召</w:t>
      </w:r>
      <w:r>
        <w:rPr>
          <w:rFonts w:hint="eastAsia"/>
          <w:sz w:val="15"/>
          <w:szCs w:val="15"/>
          <w:highlight w:val="none"/>
        </w:rPr>
        <w:t>，</w:t>
      </w:r>
      <w:r>
        <w:rPr>
          <w:rFonts w:hint="eastAsia"/>
          <w:sz w:val="15"/>
          <w:szCs w:val="15"/>
          <w:highlight w:val="none"/>
          <w:lang w:val="en-US" w:eastAsia="zh-CN"/>
        </w:rPr>
        <w:t>130131198912183918</w:t>
      </w:r>
      <w:r>
        <w:rPr>
          <w:rFonts w:hint="eastAsia"/>
          <w:sz w:val="15"/>
          <w:szCs w:val="15"/>
        </w:rPr>
        <w:t xml:space="preserve">  </w:t>
      </w:r>
      <w:r>
        <w:rPr>
          <w:rFonts w:hint="eastAsia"/>
          <w:sz w:val="15"/>
          <w:szCs w:val="15"/>
          <w:lang w:val="en-US" w:eastAsia="zh-CN"/>
        </w:rPr>
        <w:t>沪A8929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