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李二龙</w:t>
      </w:r>
      <w:r>
        <w:rPr>
          <w:rFonts w:hint="eastAsia"/>
          <w:sz w:val="15"/>
          <w:szCs w:val="15"/>
          <w:highlight w:val="none"/>
        </w:rPr>
        <w:t>，</w:t>
      </w:r>
      <w:r>
        <w:rPr>
          <w:rFonts w:hint="eastAsia"/>
          <w:sz w:val="15"/>
          <w:szCs w:val="15"/>
          <w:highlight w:val="none"/>
          <w:lang w:val="en-US" w:eastAsia="zh-CN"/>
        </w:rPr>
        <w:t>130131198907163314</w:t>
      </w:r>
      <w:r>
        <w:rPr>
          <w:rFonts w:hint="eastAsia"/>
          <w:sz w:val="15"/>
          <w:szCs w:val="15"/>
        </w:rPr>
        <w:t xml:space="preserve">  </w:t>
      </w:r>
      <w:r>
        <w:rPr>
          <w:rFonts w:hint="eastAsia"/>
          <w:sz w:val="15"/>
          <w:szCs w:val="15"/>
          <w:lang w:val="en-US" w:eastAsia="zh-CN"/>
        </w:rPr>
        <w:t>冀A36223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